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Look w:val="04A0"/>
      </w:tblPr>
      <w:tblGrid>
        <w:gridCol w:w="472"/>
        <w:gridCol w:w="6567"/>
      </w:tblGrid>
      <w:tr w:rsidR="0044768A" w:rsidTr="0044768A">
        <w:trPr>
          <w:tblCellSpacing w:w="15" w:type="dxa"/>
        </w:trPr>
        <w:tc>
          <w:tcPr>
            <w:tcW w:w="0" w:type="auto"/>
            <w:shd w:val="clear" w:color="auto" w:fill="99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fr-FR"/>
              </w:rPr>
              <w:t>DC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68A" w:rsidRDefault="0044768A" w:rsidP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Irbésartan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hydrochlorothiazide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 xml:space="preserve"> EFFETS INDÉSIRABLES</w:t>
            </w:r>
          </w:p>
        </w:tc>
      </w:tr>
    </w:tbl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Association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Irbésartan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hydrochlorothiazide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Parmi les 898 patients hypertendus qui ont reçu diverses posologies d'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irbésartan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hydrochlorothiazide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(dans la fourchette de 37,5 mg/6,25 mg à 300 mg/25 mg) dans des études contrôlées versus placebo, 29,5% des patients ont eu des effets indésirables. Les effets indésirables les plus fréquemment rapportés ont été vertiges (5,6%), fatigue (4,9%), nausées/vomissements (1,8%), et miction anormale (1,4%). De plus, des augmentations de l'azote uréique du sang (BUN) (2,3%), de créatine kinase (1,7%) et de créatinine (1,1%) ont aussi été fréquemment observées lors des essais cliniques.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tableau 1 décrit les effets indésirables rapportés spontanément ainsi que ceux observés dans les études contrôlées versus placebo.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fréquence des effets indésirables listés ci-dessous est définie selon la convention suivante: très fréquent (≥ 1/10); fréquent (≥ 1/100, &lt; 1/10); peu fréquent (≥ 1/1.000, &lt; 1/100); rare (≥ 1/10.000, &lt; 1/1.000); très rare (&lt; 1/10.000). Dans chaque groupe de fréquence, les effets indésirables sont présentés par ordre décroissant de gravité. </w:t>
      </w: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Tableau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Effets indésirables au cours des essais cliniques contrôlés versus placebo et des notifications spontanées*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24"/>
        <w:gridCol w:w="2447"/>
        <w:gridCol w:w="3917"/>
      </w:tblGrid>
      <w:tr w:rsidR="0044768A" w:rsidTr="0044768A">
        <w:trPr>
          <w:tblCellSpacing w:w="0" w:type="dxa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Investigations: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augmentation des taux sanguins de l'azote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uréique, créatinine et créatine kinase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baisses du potassium et du sodium plasmatiques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cardiaques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syncope, hypotension,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tachycardie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oedème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système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nerveux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vertiges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vertiges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orthostatiques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céphalées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l'oreille et du labyrinthe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acouphènes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Affections respiratoires,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thoraciques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toux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gastrointestinales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nausées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vomissements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diarrhée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>dyspepsie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dysgeusie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Affections du rein et des voies urinaires :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miction anormale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altération de la fonction rénale incluant des cas isolés d'insuffisance rénale chez des patients à risque (voir rubrique </w:t>
            </w:r>
            <w:hyperlink w:anchor="mises" w:history="1">
              <w:r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Mises en garde et précautions d'emploi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musculosquelettiques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systémiques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oedème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extremités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4768A" w:rsidRDefault="0044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arthralgies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myalgies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métabolisme et de la nutrition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hyperkaliémie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vasculaires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Peu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fréquents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bouffées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vasomotrices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Troubles généraux et accidents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liés au site d'administration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Fréquents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fatigue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système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immunitaire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cas de réactions d'hypersensibilité, tels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rash, urticaire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hépatobiliaires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: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ictères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hépatites, anomalie de la fonction hépatique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 organes de la reproduction et du sein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dysfonctionnement sexuel, modification de la libido </w:t>
            </w:r>
          </w:p>
        </w:tc>
      </w:tr>
    </w:tbl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*fréquence indéterminée (ne peut être estimée sur la base des données disponibles </w:t>
      </w: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Information complémentaire sur chaque composant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plus des effets indésirables listés ci-dessus pour l'association des composants, d'autres événements indésirables rapportés par ailleurs avec l'un des composants peuvent être des événements indésirables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r-FR"/>
        </w:rPr>
        <w:t>'Irbésartan/Hydrochlorothiazide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Les tableaux 2 et 3 ci-dessous décrivent les évènements indésirables rapportés avec les composants individuels d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fr-FR"/>
        </w:rPr>
        <w:t>'Irbésartan/Hydrochlorothiazide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Tableau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Effets indésirables rapportés avec l'utilisation de l'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irbésartan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8"/>
        <w:gridCol w:w="3062"/>
        <w:gridCol w:w="3078"/>
      </w:tblGrid>
      <w:tr w:rsidR="0044768A" w:rsidTr="0044768A">
        <w:trPr>
          <w:tblCellSpacing w:w="0" w:type="dxa"/>
        </w:trPr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: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fréquents : 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thoracique </w:t>
            </w:r>
          </w:p>
        </w:tc>
      </w:tr>
    </w:tbl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Tableau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Evènements indésirables (quel que soit leur imputabilité au médicament) rapportés avec l'utilisation de l'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hydrochlorothiazide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seul.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98"/>
        <w:gridCol w:w="2408"/>
        <w:gridCol w:w="3982"/>
      </w:tblGrid>
      <w:tr w:rsidR="0044768A" w:rsidTr="0044768A">
        <w:trPr>
          <w:tblCellSpacing w:w="0" w:type="dxa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Investigations: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déséquilibre électrolytique (dont hypokaliémie et hyponatrémie, voir rubrique 4.4),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hyperuricémie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glycosurie, hyperglycémie, augmentation du cholestérol et des triglycérides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cardiaques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arythmies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hématologiques et du système lymphatique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anémie aplasique, insuffisance médullaire, neutropénie/agranulocytose, anémie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hémolytique, leucopénie, thrombopénie.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nerveux :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vertiges, paresthésie, sensation de tête vide, agitation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oculaires :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 transitoire de la vision, xanthopsie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Affections respiratoires,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thoraciques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détresses respiratoires (y compris pneumopathie et œdème pulmonaire)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gastrointestinales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pancréatite, anorexie, diarrhée, constipation, irritation gastrique,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sialadénite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perte d'appétit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rein et des voies urinaires :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néphrite interstitielle, altération de la fonction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rénale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: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réactions anaphylactiques,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nécrolyse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épidermique toxique, angéites nécrosantes (vasculaires et cutanées), réactions de type lupus érythémateux disséminé, aggravation d'un lupus érythémateux cutané, réaction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photosensibilisation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rash,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urticaire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musculosquelettiques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systémiques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faiblesse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spasme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musculaire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vasculaires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hypotension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orthostatique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Troubles généraux et accidents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liés au site d'administration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fièvre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lastRenderedPageBreak/>
              <w:t xml:space="preserve">Affections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hépato-biliaires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: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Ictères </w:t>
            </w:r>
          </w:p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hépatites, anomalie de la fonction hépatique </w:t>
            </w:r>
          </w:p>
        </w:tc>
      </w:tr>
      <w:tr w:rsidR="0044768A" w:rsidTr="0044768A">
        <w:trPr>
          <w:tblCellSpacing w:w="0" w:type="dxa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indéterminée : 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68A" w:rsidRDefault="0044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dépression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 xml:space="preserve">, troubles 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fr-FR"/>
              </w:rPr>
              <w:t>sommeil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44768A" w:rsidRDefault="0044768A" w:rsidP="004476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4768A" w:rsidRDefault="0044768A" w:rsidP="0044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événements indésirables dose-dépendants de l'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hydrochlorothiazide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(particulièrement les déséquilibres électrolytiques) peuvent être majorés lors d'une augmentation de la dose d'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hydrochlorothiazide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:rsidR="00DE34F8" w:rsidRPr="0044768A" w:rsidRDefault="00DE34F8" w:rsidP="0044768A"/>
    <w:sectPr w:rsidR="00DE34F8" w:rsidRPr="0044768A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E7B"/>
    <w:multiLevelType w:val="multilevel"/>
    <w:tmpl w:val="DCC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44768A"/>
    <w:rsid w:val="00017B31"/>
    <w:rsid w:val="0006330F"/>
    <w:rsid w:val="0009769E"/>
    <w:rsid w:val="000C4178"/>
    <w:rsid w:val="00120A2B"/>
    <w:rsid w:val="001931B1"/>
    <w:rsid w:val="001A53D5"/>
    <w:rsid w:val="00282113"/>
    <w:rsid w:val="003164DC"/>
    <w:rsid w:val="00370323"/>
    <w:rsid w:val="004276C2"/>
    <w:rsid w:val="0044768A"/>
    <w:rsid w:val="004771A7"/>
    <w:rsid w:val="00480CBD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768A"/>
    <w:rPr>
      <w:color w:val="990000"/>
      <w:u w:val="single"/>
    </w:rPr>
  </w:style>
  <w:style w:type="paragraph" w:customStyle="1" w:styleId="ammcorpstexte">
    <w:name w:val="ammcorpstexte"/>
    <w:basedOn w:val="Normal"/>
    <w:rsid w:val="004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Lgende">
    <w:name w:val="caption"/>
    <w:basedOn w:val="Normal"/>
    <w:uiPriority w:val="35"/>
    <w:qFormat/>
    <w:rsid w:val="004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corpstextegras">
    <w:name w:val="ammcorpstextegras"/>
    <w:basedOn w:val="Normal"/>
    <w:rsid w:val="004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titulairenom">
    <w:name w:val="ammtitulairenom"/>
    <w:basedOn w:val="Normal"/>
    <w:rsid w:val="004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titulaireadresse">
    <w:name w:val="ammtitulaireadresse"/>
    <w:basedOn w:val="Normal"/>
    <w:rsid w:val="0044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2013-02-09T19:21:00Z</dcterms:created>
  <dcterms:modified xsi:type="dcterms:W3CDTF">2013-02-09T19:25:00Z</dcterms:modified>
</cp:coreProperties>
</file>